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DD" w:rsidRDefault="00E56CDD" w:rsidP="008A4221">
      <w:pPr>
        <w:spacing w:after="0" w:line="276" w:lineRule="auto"/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sz w:val="26"/>
          <w:szCs w:val="26"/>
          <w:lang w:eastAsia="pl-PL"/>
        </w:rPr>
        <w:t xml:space="preserve">                                                  </w:t>
      </w:r>
    </w:p>
    <w:p w:rsidR="00E56CDD" w:rsidRDefault="008A4221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UCHWAŁA Nr 2</w:t>
      </w:r>
      <w:r w:rsidR="0046127A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07</w:t>
      </w:r>
      <w:bookmarkStart w:id="0" w:name="_GoBack"/>
      <w:bookmarkEnd w:id="0"/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/XXXII</w:t>
      </w:r>
      <w:r w:rsidR="00AC05D3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/ 2021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RADY GMINY BIELSK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z dnia </w:t>
      </w:r>
      <w:r w:rsidR="00487C2C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29 listopada </w:t>
      </w:r>
      <w:r w:rsidR="00AC05D3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2021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 roku</w:t>
      </w:r>
    </w:p>
    <w:p w:rsidR="00E56CDD" w:rsidRDefault="00E56CDD" w:rsidP="00E56CDD">
      <w:pPr>
        <w:widowControl w:val="0"/>
        <w:tabs>
          <w:tab w:val="left" w:pos="10366"/>
        </w:tabs>
        <w:suppressAutoHyphens/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Times New Roman" w:eastAsia="Times New Roman" w:hAnsi="Times New Roman" w:cs="Times"/>
          <w:kern w:val="28"/>
          <w:sz w:val="26"/>
          <w:szCs w:val="26"/>
          <w:lang w:eastAsia="pl-PL"/>
        </w:rPr>
      </w:pPr>
    </w:p>
    <w:p w:rsidR="00E56CDD" w:rsidRDefault="00E56CDD" w:rsidP="00E56CDD">
      <w:pPr>
        <w:widowControl w:val="0"/>
        <w:tabs>
          <w:tab w:val="left" w:pos="10366"/>
        </w:tabs>
        <w:suppressAutoHyphens/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w sprawie określenia wysokości stawek poda</w:t>
      </w:r>
      <w:r w:rsidR="00AC05D3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tku od nieruchomości na rok 2022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obowiązujących na terenie Gminy Bielsk  oraz zwolnień w tym podatku.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      Na podstawie art. 18 ust. 2 pkt 8 w związku z art. 40 ust. 1 ustawy z dnia 8 marca 1990 r. o samorząd</w:t>
      </w:r>
      <w:r w:rsidR="00AC05D3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zie gminnym (t. j. Dz. U. z 2021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r., poz. </w:t>
      </w:r>
      <w:r w:rsidR="00AC05D3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1372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. zm.), art. 5, art. 7 ust. 3 ustawy z dnia 12 stycznia 1991 r. o podatkach i opłatach lokalnych (t. j. Dz. U. z 2019 r. poz. 1170         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. zm.) w związku z obwieszczeniem Ministra Finansów</w:t>
      </w:r>
      <w:r w:rsidR="00DB6E97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, Funduszy i Polityki Regionalnej z dnia 22 lipca 2021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w sprawie górnych granic stawek kwotowych podatk</w:t>
      </w:r>
      <w:r w:rsidR="00DB6E97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ów i opłat lokalnych na rok 2022 (M.P. z 2021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poz</w:t>
      </w:r>
      <w:r w:rsidR="00DB6E97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. 724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), 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Rada Gminy Bielsk uchwala, co następuje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: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Określa się wysokość stawek  podatku od nieruchomości obowiązujących na t</w:t>
      </w:r>
      <w:r w:rsidR="00DB6E97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erenie Gminy Bielsk  na rok 2022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: 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Od gruntów: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a) związanych z prowadzeniem działalności gospodarczej, bez względu na sposób zakwalifikowania w ewidencji gruntów i budynków – </w:t>
      </w:r>
      <w:r w:rsidR="00581745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0,95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powierzchni;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b) pod wodami powierzchniowymi stojącymi lub wodami powierzchniowymi płynącymi jezior i zbiorników sztucznych – </w:t>
      </w:r>
      <w:r w:rsidR="00581745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5,17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 1 ha powierzchni;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pozostałych, w tym zajętych na prowadzenie odpłatnej statutowej działalności pożytku publicznego przez organizacje pożytku publicznego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 w:rsidR="00581745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0,45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niezabudowanych objętych obszarem rewitalizacji, o którym mowa w ustawie z dnia  09.10.2015 </w:t>
      </w:r>
      <w:r w:rsidR="00581745">
        <w:rPr>
          <w:rFonts w:ascii="Times New Roman" w:eastAsia="Times New Roman" w:hAnsi="Times New Roman"/>
          <w:sz w:val="24"/>
          <w:szCs w:val="24"/>
          <w:lang w:eastAsia="pl-PL"/>
        </w:rPr>
        <w:t>r. o rewitalizacji (Dz. U z 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581745">
        <w:rPr>
          <w:rFonts w:ascii="Times New Roman" w:eastAsia="Times New Roman" w:hAnsi="Times New Roman"/>
          <w:sz w:val="24"/>
          <w:szCs w:val="24"/>
          <w:lang w:eastAsia="pl-PL"/>
        </w:rPr>
        <w:t>485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5817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3,40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</w:t>
      </w:r>
      <w:r>
        <w:rPr>
          <w:rFonts w:ascii="Arial" w:eastAsia="Times New Roman" w:hAnsi="Arial" w:cs="Arial"/>
          <w:lang w:eastAsia="pl-PL"/>
        </w:rPr>
        <w:t>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2. Od budynków lub ich części: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a) mieszkalnych </w:t>
      </w:r>
      <w:r w:rsidR="00A27E3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– 0,89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b) związanych z prowadzeniem działalności gospodarczej oraz od budynków mieszkalnych lub ich części zajętych na prowadzenie działalności gospodarczej – </w:t>
      </w:r>
      <w:r w:rsidR="00A27E3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,50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 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zajętych na prowadzenie działalności gospodarczej w zakresie obrotu kwalifikowanym materiałem siewnym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– </w:t>
      </w:r>
      <w:r w:rsidR="00A27E31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12,04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lastRenderedPageBreak/>
        <w:t xml:space="preserve">d) związanych z udzielaniem świadczeń zdrowotnych w rozumieniu przepisów o działalności leczniczej, zajętych przez podmioty udzielające tych świadczeń – </w:t>
      </w:r>
      <w:r w:rsidR="00A27E3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5,25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e) pozostałych, w tym zajętych na prowadzenie odpłatnej statutowej działalności pożytku publicznego przez organizacje pożytku publicznego – </w:t>
      </w:r>
      <w:r w:rsidR="00A27E3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8,00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Od budowli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2 %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ich wartości określonej na podstawie art.4 ust.1 pkt.3 i ust.3-7 ustawy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br/>
        <w:t>o podatkach i opłatach lokalnych.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2. </w:t>
      </w:r>
      <w:r>
        <w:rPr>
          <w:rFonts w:ascii="Times New Roman" w:eastAsia="Times New Roman" w:hAnsi="Times New Roman" w:cs="Times"/>
          <w:b/>
          <w:sz w:val="24"/>
          <w:szCs w:val="24"/>
          <w:lang w:eastAsia="pl-PL"/>
        </w:rPr>
        <w:t>Zwalnia się od podatku od nieruchomości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: </w:t>
      </w:r>
    </w:p>
    <w:p w:rsidR="00E56CDD" w:rsidRDefault="00E56CDD" w:rsidP="00E56CDD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100" w:lineRule="atLeast"/>
        <w:ind w:left="705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1) budynki mieszkalne lub ich części ;  </w:t>
      </w:r>
    </w:p>
    <w:p w:rsidR="00E56CDD" w:rsidRDefault="00E56CDD" w:rsidP="00E56CDD">
      <w:pPr>
        <w:widowControl w:val="0"/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2</w:t>
      </w:r>
      <w:r>
        <w:rPr>
          <w:rFonts w:ascii="Times New Roman" w:eastAsia="Times New Roman" w:hAnsi="Times New Roman" w:cs="Times"/>
          <w:bCs/>
          <w:sz w:val="24"/>
          <w:szCs w:val="24"/>
          <w:lang w:eastAsia="pl-PL"/>
        </w:rPr>
        <w:t>) b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udynki lub ich części oraz grunty wykorzystane na cele ochrony przeciwpożarowej ;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3) budynki lub ich części oraz grunty wykorzystane na cele kultury;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4) budynki lub ich części oraz grunty wykorzystane na cele związane z ochroną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bezpieczeństwa  ludzi oraz utrzymania bezpieczeństwa i porządku publicznego;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5) budynki lub ich części oraz grunty służące pomocy społecznej.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color w:val="FF0000"/>
          <w:sz w:val="24"/>
          <w:szCs w:val="24"/>
          <w:lang w:eastAsia="pl-PL"/>
        </w:rPr>
        <w:t xml:space="preserve">  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Zwolnienia, o których mowa w § 2 nie obejmują budynków lub ich części oraz gr</w:t>
      </w:r>
      <w:r w:rsidR="00A27E31"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untów              związanych 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z  prowadzeniem  działalności  gospodarczej.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color w:val="FF0000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4.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Wykonanie uchwały powierza się Wójtowi Gminy.</w:t>
      </w: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§ 5.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Uchwała podlega  ogłoszeniu w Dzienniku Urzędowym Województwa Mazowieckiego 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i wchodzi</w:t>
      </w:r>
      <w:r w:rsidR="00A27E31"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w życie z dniem 1 stycznia 2022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roku. </w:t>
      </w:r>
    </w:p>
    <w:p w:rsidR="00E56CDD" w:rsidRDefault="00E56CDD" w:rsidP="00E56C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56CDD" w:rsidRDefault="00E56CDD" w:rsidP="00E56CDD">
      <w:pPr>
        <w:spacing w:after="0" w:line="360" w:lineRule="atLeast"/>
        <w:jc w:val="both"/>
        <w:rPr>
          <w:rFonts w:ascii="Times" w:eastAsia="Times New Roman" w:hAnsi="Times" w:cs="Times"/>
          <w:sz w:val="26"/>
          <w:szCs w:val="26"/>
          <w:lang w:eastAsia="pl-PL"/>
        </w:rPr>
      </w:pPr>
    </w:p>
    <w:p w:rsidR="004D10C1" w:rsidRDefault="004D10C1"/>
    <w:sectPr w:rsidR="004D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D"/>
    <w:rsid w:val="0046127A"/>
    <w:rsid w:val="00487C2C"/>
    <w:rsid w:val="004D10C1"/>
    <w:rsid w:val="00581745"/>
    <w:rsid w:val="007637B1"/>
    <w:rsid w:val="008A4221"/>
    <w:rsid w:val="009F6C53"/>
    <w:rsid w:val="00A27E31"/>
    <w:rsid w:val="00AC05D3"/>
    <w:rsid w:val="00D03380"/>
    <w:rsid w:val="00DB6E97"/>
    <w:rsid w:val="00E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F1D4-5466-4A96-B364-61754A01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CD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BAR_POM</dc:creator>
  <cp:keywords/>
  <dc:description/>
  <cp:lastModifiedBy>BAR_POM</cp:lastModifiedBy>
  <cp:revision>10</cp:revision>
  <cp:lastPrinted>2021-11-26T09:57:00Z</cp:lastPrinted>
  <dcterms:created xsi:type="dcterms:W3CDTF">2021-11-08T12:15:00Z</dcterms:created>
  <dcterms:modified xsi:type="dcterms:W3CDTF">2021-11-29T09:46:00Z</dcterms:modified>
</cp:coreProperties>
</file>